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100 vom 26. Juli 2019</w:t>
      </w:r>
    </w:p>
    <w:p>
      <w:r>
        <w:t>FR Kantonsgericht, 2019-07-26, FR</w:t>
      </w:r>
    </w:p>
    <w:p>
      <w:r>
        <w:rPr>
          <w:b/>
        </w:rPr>
        <w:t xml:space="preserve">Quelle: </w:t>
      </w:r>
      <w:r>
        <w:t>https://mcp.opencaselaw.ch/entscheid/fr_gerichte_101 2019 100</w:t>
      </w:r>
    </w:p>
    <w:p>
      <w:r>
        <w:t>FR: FR_GERICHTE 101 2019 100 du 26 juillet 2019</w:t>
      </w:r>
    </w:p>
    <w:p>
      <w:r>
        <w:t>IT: FR_GERICHTE 101 2019 100 del 26 luglio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avril 2019. L'épouse a répondu le 6 mai 2019, concluant sous suite de frais au rejet de l'appel, dans la mesure de sa recevabilité. Elle a également requis l'assistance judiciaire, laquelle lui a été accordée par arrêt du 10 mai 2019.</w:t>
      </w:r>
    </w:p>
    <w:p>
      <w:r>
        <w:t>Tribunal cantonal TC Page 3 de 5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est de 10 jours (art. 314 al. 1 CPC). En l'espèce, la décision attaquée a été notifiée au mandataire de l'appelant le 28 mars 2019. Déposé le 8 avril 2019, l'appel a dès lors été interjeté en temps utile. Le mémoire d'appel est, de plus, doté de conclusions. En outre, vu les conclusions prises en première instance tendant à la suppression des pensions (CHF 650.- par mois) et au remboursement de pensions payées en trop (CHF 1'950.-), la valeur litigieuse en appel est supérieure à CHF 10'000.-. L'appel est ainsi recevable. 1.2. Le tribunal établit les faits d'office (maxime inquisitoire, art. 272 CPC). La question de la pension entre époux est en outre régie par le principe de disposition (art. 58 al. 1 CPC). En cas de procédure sommaire, l'appel joint est irrecevable (art. 314 al. 2 CPC). 1.3 La cognition de la Cour d'appel (ci-après: Cour) est pleine et entière, en fait comme en droit (art. 310 CPC). 1.4. Selon l'art. 316 al. 1 CPC, la Cour peut ordonner des débats ou statuer sur pièces. En l'espèce, vu le fait que toutes les pièces utiles à son traitement figurent au dossier, il ne se justifie pas d'assigner les parties à une audience et la Cour statuera sur pièces. 2. 2.1. L'appelant relève que, à l'époque de l'arrêt du Tribunal cantonal du 8 février 2013, il réalisait un revenu de CHF 4'890.-, part au 13e salaire comprise. Il subit cependant une atteinte à sa santé depuis le mois de mai 2018, de sorte qu'il ne perçoit que 80% de son salaire. Il estime ainsi qu'un montant de CHF 3'434.- doit être pris en compte à titre de revenu à son encontre. 2.2. Dans la cause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Si la motivation fait défaut, le tribunal supérieur n’entre pas en matière sur l’appel (arrêt TF 4A_659/2011 du 7 décembre 2011, c. 3). Il convient de constater que l'appelant ne fournit pas d'explications ni de preuves à l'appui de ses allégations. Il prétend d'abord qu'il réalisait à l'époque de l'arrêt du Tribunal cantonal du 8 février 2013 un salaire de CHF 4'890.-. Or, dit arrêt ne mentionne nullement le revenu dont il bénéficiait alors. Ensuite, l'appelant estime qu'un montant de CHF 3'434.- doit être retenu à titre de salaire actuel. Il ne justifie cependant pas ce montant et ne produit pas de pièce. De plus, l'appelant soutient que son revenu "s'est péjoré dans une fourchette proche de CHF 400.-" sans que l'on comprenne, à nouveau, comment il est parvenu à ce résultat. Finalement, il conteste le revenu de</w:t>
      </w:r>
    </w:p>
    <w:p>
      <w:r>
        <w:t>Tribunal cantonal TC Page 4 de 5 CHF 5'040.- retenu par l'autorité précédente à son encontre, sans alléguer en quoi le montant serait faux. Ainsi, la Cour peine à comprendre la motivation de l'appel. En se plongeant dans le dossier, elle constate que, dans une ordonnance du 21 novembre 2012 du Président du Tribunal civil de la Veveyse, celui-ci avait pris note du fait que "le requérant allègue qu'il réalise un salaire mensuel de CHF 4'890.-, 13ème salaire compris" (p. 2). La Cour suppose que l'appelant se réfère à cette ordonnance pour justifier le revenu qu'il réalisait autrefois. Elle constate également que, dans sa requête du 29 août 2018, l'appelant avait prétendu qu'il bénéficiait d'un revenu de CHF 3'434.- après déduction de la pension en faveur de l'épouse, produisant un décompte de salaire d'août 2018. La Cour suppose que l'appelant se base sur la même pièce aujourd'hui. La motivation de l'appel étant cependant insuffisante, on peut se demander si l'appelant n'a pas manqué à son devoir de motivation, entrainant l'irrecevabilité de son acte. 2.3. La question peut toutefois être laissée ouverte. En effet, s'il n'est pas irrecevable, le grief de l'appelant doit être rejeté. Au vu du large pouvoir d'appréciation de l'autorité précédente, il est constaté que celle-ci a correctement établi le revenu de l'appelant à CHF 5'040.- en se basant sur le décompte de janvier 2019. Ses charges s'élevant à CHF 3'302.90 et son disponible à CHF 1'737.10, l'appelant est largement en mesure de verser la pension de CHF 650.- en faveur de son épouse. Il est vrai que le revenu de l'intimée a augmenté de CHF 400.- et qu'il s'élève aujourd'hui à CHF 1'474.20. Toutefois, ses charges s'élèvent quant à elles à CHF 2'498.-, de sorte qu'elle doit encore faire face à un déficit de CHF 1'023.80. Ainsi, malgré l'augmentation de son revenu et la pension en sa faveur, le budget de l'intimée est loin d'être équilibré. Au vu de ce qui précède, une modification des mesures n'est pas justifiée. L'appel doit être rejeté et la décision de l'autorité précédente être confirmée. 2.4. Il convient de relever que l'intimée conteste les charges de l'appelant telles que retenues par l'autorité précédente. Elle n'a cependant pas formé un appel contre la décision du 22 mars 2019 et il vient d'être relevé que l'appelant est en mesure de verser la pension de CHF 650.- tout en disposant encore d'un large disponible, de sorte qu'il n'est pas nécessaire d'examiner ses arguments. 3. 3.1. L'appelant relève qu'une erreur s'est glissée dans son mémoire du 29 août 2019. Il a en effet faussement conclu à ce que les dépens soient mis à sa charge, alors qu'il souhaitait qu'ils soient mis à celle de l'intimée. 3.2.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Dans le cas d'espèce, la prétendue erreur de plume n'a aucune incidence. En effet, vu l'issue de l'appel, les frais doivent être mis à sa charge de l'appelant (art. 106 al. 1 CPC), sous réserve de l'assistance judiciaire qui lui a été octroyée. Les frais de justice dus à l'Etat sont fixés à CHF 1000.- .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w:t>
      </w:r>
    </w:p>
    <w:p>
      <w:r>
        <w:t>Tribunal cantonal TC Page 5 de 5 décision du juge unique est de CHF 3'000.-, montant pouvant être doublé si des circonstances particulières le justifient (art. 64 al. 1 let. e et al. 2 RJ). Compte tenu de ces critères, les dépens d'appel de l'intimée seront arrêtés globalement à la somme de CHF 1'300.-, débours compris, plus la TVA par CHF 100.10 (7.7 % de CHF 1'300.-). la Cour arrête : I. L'appel est rejeté. Partant, la décision du 22 mars 2019 du Président du Tribunal civil de la Veveyse est confirmée. II. Sous réserve de l'assistance judiciaire, les frais d'appel sont mis à la charge de A.________. Ils comprennent notamment les frais judiciaires dus à l'Etat, fixés à CHF 1'000.-. III. Les dépens d'appel de B.________ sont fixés à CHF 1'400.10, TVA par CHF 100.10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juillet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